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B4D2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center"/>
        <w:rPr>
          <w:rFonts w:ascii="Times" w:hAnsi="Times" w:cs="Times"/>
          <w:b/>
          <w:sz w:val="32"/>
          <w:szCs w:val="32"/>
        </w:rPr>
      </w:pPr>
      <w:r w:rsidRPr="00B809C5">
        <w:rPr>
          <w:rFonts w:ascii="Garamond" w:hAnsi="Garamond" w:cs="Garamond"/>
          <w:b/>
          <w:bCs/>
          <w:sz w:val="32"/>
          <w:szCs w:val="32"/>
        </w:rPr>
        <w:t>WVCAP</w:t>
      </w:r>
    </w:p>
    <w:p w14:paraId="33C6AA24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center"/>
        <w:rPr>
          <w:rFonts w:ascii="Times" w:hAnsi="Times" w:cs="Times"/>
          <w:sz w:val="32"/>
          <w:szCs w:val="32"/>
        </w:rPr>
      </w:pPr>
      <w:r w:rsidRPr="00B809C5">
        <w:rPr>
          <w:rFonts w:ascii="Garamond" w:hAnsi="Garamond" w:cs="Garamond"/>
          <w:b/>
          <w:bCs/>
          <w:sz w:val="32"/>
          <w:szCs w:val="32"/>
        </w:rPr>
        <w:t>Emerging Leaders’ Institute for Training and Excellence Recommendation Form</w:t>
      </w:r>
    </w:p>
    <w:p w14:paraId="6779F65A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both"/>
        <w:rPr>
          <w:rFonts w:ascii="Times" w:hAnsi="Times" w:cs="Times"/>
          <w:sz w:val="28"/>
          <w:szCs w:val="28"/>
        </w:rPr>
      </w:pPr>
      <w:r w:rsidRPr="00B809C5">
        <w:rPr>
          <w:rFonts w:ascii="Garamond" w:hAnsi="Garamond" w:cs="Garamond"/>
          <w:sz w:val="28"/>
          <w:szCs w:val="28"/>
        </w:rPr>
        <w:t xml:space="preserve">The </w:t>
      </w:r>
      <w:r w:rsidRPr="00B809C5">
        <w:rPr>
          <w:rFonts w:ascii="Garamond" w:hAnsi="Garamond" w:cs="Garamond"/>
          <w:b/>
          <w:bCs/>
          <w:sz w:val="28"/>
          <w:szCs w:val="28"/>
        </w:rPr>
        <w:t xml:space="preserve">WVCAP Emerging Leaders’ Institute for Training and Excellence </w:t>
      </w:r>
      <w:r w:rsidRPr="00B809C5">
        <w:rPr>
          <w:rFonts w:ascii="Garamond" w:hAnsi="Garamond" w:cs="Garamond"/>
          <w:sz w:val="28"/>
          <w:szCs w:val="28"/>
        </w:rPr>
        <w:t xml:space="preserve">is designed to prepare individuals for current and future leadership roles by providing a program of study centered on critical leadership skills and topics. </w:t>
      </w:r>
    </w:p>
    <w:p w14:paraId="4CECBB47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both"/>
        <w:rPr>
          <w:rFonts w:ascii="Times" w:hAnsi="Times" w:cs="Times"/>
          <w:sz w:val="28"/>
          <w:szCs w:val="28"/>
        </w:rPr>
      </w:pPr>
      <w:r w:rsidRPr="00B809C5">
        <w:rPr>
          <w:rFonts w:ascii="Garamond" w:hAnsi="Garamond" w:cs="Garamond"/>
          <w:sz w:val="28"/>
          <w:szCs w:val="28"/>
        </w:rPr>
        <w:t xml:space="preserve">Your recommendation is an important part of the candidate’s application. The </w:t>
      </w:r>
      <w:r w:rsidRPr="00B809C5">
        <w:rPr>
          <w:rFonts w:ascii="Garamond" w:hAnsi="Garamond" w:cs="Garamond"/>
          <w:bCs/>
          <w:sz w:val="28"/>
          <w:szCs w:val="28"/>
        </w:rPr>
        <w:t>WVCAP</w:t>
      </w:r>
      <w:r w:rsidRPr="00B809C5">
        <w:rPr>
          <w:rFonts w:ascii="Garamond" w:hAnsi="Garamond" w:cs="Garamond"/>
          <w:b/>
          <w:bCs/>
          <w:color w:val="FB0007"/>
          <w:sz w:val="28"/>
          <w:szCs w:val="28"/>
        </w:rPr>
        <w:t xml:space="preserve"> </w:t>
      </w:r>
      <w:r w:rsidRPr="00B809C5">
        <w:rPr>
          <w:rFonts w:ascii="Garamond" w:hAnsi="Garamond" w:cs="Garamond"/>
          <w:sz w:val="28"/>
          <w:szCs w:val="28"/>
        </w:rPr>
        <w:t xml:space="preserve">is interested in your assessment of the applicant’s past achievements as well as future potential. </w:t>
      </w:r>
    </w:p>
    <w:p w14:paraId="30D971CE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Garamond" w:hAnsi="Garamond" w:cs="Garamond"/>
          <w:sz w:val="28"/>
          <w:szCs w:val="28"/>
          <w:u w:val="single"/>
        </w:rPr>
      </w:pPr>
      <w:r w:rsidRPr="00B809C5">
        <w:rPr>
          <w:rFonts w:ascii="Garamond" w:hAnsi="Garamond" w:cs="Garamond"/>
          <w:sz w:val="28"/>
          <w:szCs w:val="28"/>
        </w:rPr>
        <w:t>Applicant’s Name:</w:t>
      </w:r>
      <w:r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</w:rPr>
        <w:tab/>
      </w:r>
    </w:p>
    <w:p w14:paraId="20EFAB9A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Garamond" w:hAnsi="Garamond" w:cs="Garamond"/>
          <w:sz w:val="28"/>
          <w:szCs w:val="28"/>
          <w:u w:val="single"/>
        </w:rPr>
      </w:pPr>
      <w:r w:rsidRPr="00B809C5">
        <w:rPr>
          <w:rFonts w:ascii="Garamond" w:hAnsi="Garamond" w:cs="Garamond"/>
          <w:sz w:val="28"/>
          <w:szCs w:val="28"/>
        </w:rPr>
        <w:t>Recommender’s Name:</w:t>
      </w:r>
      <w:r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 w:rsidRPr="00B809C5">
        <w:rPr>
          <w:rFonts w:ascii="Times" w:hAnsi="Times" w:cs="Times"/>
          <w:noProof/>
          <w:sz w:val="28"/>
          <w:szCs w:val="28"/>
        </w:rPr>
        <w:t xml:space="preserve"> </w:t>
      </w:r>
    </w:p>
    <w:p w14:paraId="2596FC87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Garamond" w:hAnsi="Garamond" w:cs="Garamond"/>
          <w:sz w:val="28"/>
          <w:szCs w:val="28"/>
          <w:u w:val="single"/>
        </w:rPr>
      </w:pPr>
      <w:r w:rsidRPr="00B809C5">
        <w:rPr>
          <w:rFonts w:ascii="Garamond" w:hAnsi="Garamond" w:cs="Garamond"/>
          <w:sz w:val="28"/>
          <w:szCs w:val="28"/>
        </w:rPr>
        <w:t>Recommender’s Signature:</w:t>
      </w:r>
      <w:r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B809C5">
        <w:rPr>
          <w:rFonts w:ascii="Garamond" w:hAnsi="Garamond" w:cs="Garamond"/>
          <w:sz w:val="28"/>
          <w:szCs w:val="28"/>
        </w:rPr>
        <w:t xml:space="preserve">Date: </w:t>
      </w:r>
      <w:r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</w:p>
    <w:p w14:paraId="2C6288C2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Times" w:hAnsi="Times" w:cs="Times"/>
          <w:b/>
          <w:sz w:val="28"/>
          <w:szCs w:val="28"/>
        </w:rPr>
      </w:pPr>
      <w:r w:rsidRPr="00B809C5">
        <w:rPr>
          <w:rFonts w:ascii="Garamond" w:hAnsi="Garamond" w:cs="Garamond"/>
          <w:b/>
          <w:sz w:val="28"/>
          <w:szCs w:val="28"/>
        </w:rPr>
        <w:t xml:space="preserve">SECTION I: Please rate the candidate on the following dimensions: </w:t>
      </w:r>
    </w:p>
    <w:tbl>
      <w:tblPr>
        <w:tblStyle w:val="TableGrid"/>
        <w:tblW w:w="9198" w:type="dxa"/>
        <w:jc w:val="center"/>
        <w:tblLook w:val="04A0" w:firstRow="1" w:lastRow="0" w:firstColumn="1" w:lastColumn="0" w:noHBand="0" w:noVBand="1"/>
      </w:tblPr>
      <w:tblGrid>
        <w:gridCol w:w="2538"/>
        <w:gridCol w:w="1260"/>
        <w:gridCol w:w="1350"/>
        <w:gridCol w:w="1260"/>
        <w:gridCol w:w="1620"/>
        <w:gridCol w:w="1170"/>
      </w:tblGrid>
      <w:tr w:rsidR="00B809C5" w14:paraId="772115AA" w14:textId="77777777" w:rsidTr="00B809C5">
        <w:trPr>
          <w:jc w:val="center"/>
        </w:trPr>
        <w:tc>
          <w:tcPr>
            <w:tcW w:w="2538" w:type="dxa"/>
            <w:vAlign w:val="center"/>
          </w:tcPr>
          <w:p w14:paraId="5B25396A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jc w:val="center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Dimension</w:t>
            </w:r>
          </w:p>
        </w:tc>
        <w:tc>
          <w:tcPr>
            <w:tcW w:w="1260" w:type="dxa"/>
            <w:vAlign w:val="center"/>
          </w:tcPr>
          <w:p w14:paraId="3E188787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Below</w:t>
            </w:r>
          </w:p>
          <w:p w14:paraId="4E140EB9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Average</w:t>
            </w:r>
          </w:p>
        </w:tc>
        <w:tc>
          <w:tcPr>
            <w:tcW w:w="1350" w:type="dxa"/>
            <w:vAlign w:val="center"/>
          </w:tcPr>
          <w:p w14:paraId="7285B063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Average</w:t>
            </w:r>
          </w:p>
        </w:tc>
        <w:tc>
          <w:tcPr>
            <w:tcW w:w="1260" w:type="dxa"/>
            <w:vAlign w:val="center"/>
          </w:tcPr>
          <w:p w14:paraId="0DCCB65C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Above</w:t>
            </w:r>
          </w:p>
          <w:p w14:paraId="017CAC96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Average</w:t>
            </w:r>
          </w:p>
        </w:tc>
        <w:tc>
          <w:tcPr>
            <w:tcW w:w="1620" w:type="dxa"/>
            <w:vAlign w:val="center"/>
          </w:tcPr>
          <w:p w14:paraId="26F59CB5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Outstanding</w:t>
            </w:r>
          </w:p>
        </w:tc>
        <w:tc>
          <w:tcPr>
            <w:tcW w:w="1170" w:type="dxa"/>
            <w:vAlign w:val="center"/>
          </w:tcPr>
          <w:p w14:paraId="378997A9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Unable to</w:t>
            </w:r>
          </w:p>
          <w:p w14:paraId="348BED73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  <w:b/>
              </w:rPr>
            </w:pPr>
            <w:r w:rsidRPr="00B809C5">
              <w:rPr>
                <w:rFonts w:ascii="Times" w:hAnsi="Times" w:cs="Times"/>
                <w:b/>
              </w:rPr>
              <w:t>Judge</w:t>
            </w:r>
          </w:p>
        </w:tc>
      </w:tr>
      <w:tr w:rsidR="00B809C5" w14:paraId="1F13D5A0" w14:textId="77777777" w:rsidTr="00B809C5">
        <w:trPr>
          <w:jc w:val="center"/>
        </w:trPr>
        <w:tc>
          <w:tcPr>
            <w:tcW w:w="2538" w:type="dxa"/>
          </w:tcPr>
          <w:p w14:paraId="4B490023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Leadership Ability</w:t>
            </w:r>
          </w:p>
        </w:tc>
        <w:tc>
          <w:tcPr>
            <w:tcW w:w="1260" w:type="dxa"/>
          </w:tcPr>
          <w:p w14:paraId="4A970F6A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2037210A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7DFB33B4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28FB6DA3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50A9D9C2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1876FD62" w14:textId="77777777" w:rsidTr="00B809C5">
        <w:trPr>
          <w:jc w:val="center"/>
        </w:trPr>
        <w:tc>
          <w:tcPr>
            <w:tcW w:w="2538" w:type="dxa"/>
          </w:tcPr>
          <w:p w14:paraId="56F70F0D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Leadership Potential</w:t>
            </w:r>
          </w:p>
        </w:tc>
        <w:tc>
          <w:tcPr>
            <w:tcW w:w="1260" w:type="dxa"/>
          </w:tcPr>
          <w:p w14:paraId="5F093AD7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00233123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6120B5D3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3EEC3CA4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07DF3167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79B138C8" w14:textId="77777777" w:rsidTr="00B809C5">
        <w:trPr>
          <w:jc w:val="center"/>
        </w:trPr>
        <w:tc>
          <w:tcPr>
            <w:tcW w:w="2538" w:type="dxa"/>
          </w:tcPr>
          <w:p w14:paraId="27E35E96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Interpersonal Skills</w:t>
            </w:r>
          </w:p>
        </w:tc>
        <w:tc>
          <w:tcPr>
            <w:tcW w:w="1260" w:type="dxa"/>
          </w:tcPr>
          <w:p w14:paraId="58B06CFE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03523793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042ABA14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7631432B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5AEAB867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42F55FAD" w14:textId="77777777" w:rsidTr="00B809C5">
        <w:trPr>
          <w:jc w:val="center"/>
        </w:trPr>
        <w:tc>
          <w:tcPr>
            <w:tcW w:w="2538" w:type="dxa"/>
          </w:tcPr>
          <w:p w14:paraId="1EDC4A0B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Intellect</w:t>
            </w:r>
          </w:p>
        </w:tc>
        <w:tc>
          <w:tcPr>
            <w:tcW w:w="1260" w:type="dxa"/>
          </w:tcPr>
          <w:p w14:paraId="0411455E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259ED18F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58DA2D72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450E47BB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4FE29831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071650BE" w14:textId="77777777" w:rsidTr="00B809C5">
        <w:trPr>
          <w:jc w:val="center"/>
        </w:trPr>
        <w:tc>
          <w:tcPr>
            <w:tcW w:w="2538" w:type="dxa"/>
          </w:tcPr>
          <w:p w14:paraId="5A643B73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Maturity</w:t>
            </w:r>
          </w:p>
        </w:tc>
        <w:tc>
          <w:tcPr>
            <w:tcW w:w="1260" w:type="dxa"/>
          </w:tcPr>
          <w:p w14:paraId="52498F2E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6B06C0D5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7D20A582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687A6F6D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3C118489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6AC242FB" w14:textId="77777777" w:rsidTr="00B809C5">
        <w:trPr>
          <w:jc w:val="center"/>
        </w:trPr>
        <w:tc>
          <w:tcPr>
            <w:tcW w:w="2538" w:type="dxa"/>
          </w:tcPr>
          <w:p w14:paraId="7E243BBF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Initiative/Motivation</w:t>
            </w:r>
          </w:p>
        </w:tc>
        <w:tc>
          <w:tcPr>
            <w:tcW w:w="1260" w:type="dxa"/>
          </w:tcPr>
          <w:p w14:paraId="4F150D77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75B26A77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58AB4812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3DF8C9A8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0C5D1A2F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  <w:tr w:rsidR="00B809C5" w14:paraId="7A48E159" w14:textId="77777777" w:rsidTr="00B809C5">
        <w:trPr>
          <w:jc w:val="center"/>
        </w:trPr>
        <w:tc>
          <w:tcPr>
            <w:tcW w:w="2538" w:type="dxa"/>
          </w:tcPr>
          <w:p w14:paraId="39908315" w14:textId="77777777" w:rsidR="00B809C5" w:rsidRP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  <w:r w:rsidRPr="00B809C5">
              <w:rPr>
                <w:rFonts w:ascii="Times" w:hAnsi="Times" w:cs="Times"/>
              </w:rPr>
              <w:t>Level of Commitment</w:t>
            </w:r>
          </w:p>
        </w:tc>
        <w:tc>
          <w:tcPr>
            <w:tcW w:w="1260" w:type="dxa"/>
          </w:tcPr>
          <w:p w14:paraId="780185AE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350" w:type="dxa"/>
          </w:tcPr>
          <w:p w14:paraId="6D72683B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260" w:type="dxa"/>
          </w:tcPr>
          <w:p w14:paraId="5915A1BC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620" w:type="dxa"/>
          </w:tcPr>
          <w:p w14:paraId="2DEA7E58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  <w:tc>
          <w:tcPr>
            <w:tcW w:w="1170" w:type="dxa"/>
          </w:tcPr>
          <w:p w14:paraId="17FDAFAB" w14:textId="77777777" w:rsidR="00B809C5" w:rsidRDefault="00B809C5" w:rsidP="00B809C5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Times" w:hAnsi="Times" w:cs="Times"/>
              </w:rPr>
            </w:pPr>
          </w:p>
        </w:tc>
      </w:tr>
    </w:tbl>
    <w:p w14:paraId="58FA164E" w14:textId="77777777" w:rsidR="00B809C5" w:rsidRDefault="00B809C5" w:rsidP="00B809C5">
      <w:pPr>
        <w:widowControl w:val="0"/>
        <w:autoSpaceDE w:val="0"/>
        <w:autoSpaceDN w:val="0"/>
        <w:adjustRightInd w:val="0"/>
        <w:ind w:left="-720" w:right="-634"/>
        <w:rPr>
          <w:rFonts w:ascii="Garamond" w:hAnsi="Garamond" w:cs="Garamond"/>
          <w:sz w:val="32"/>
          <w:szCs w:val="32"/>
        </w:rPr>
      </w:pPr>
    </w:p>
    <w:p w14:paraId="0D369BA9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Garamond" w:hAnsi="Garamond" w:cs="Garamond"/>
          <w:b/>
          <w:sz w:val="28"/>
          <w:szCs w:val="28"/>
        </w:rPr>
      </w:pPr>
      <w:r w:rsidRPr="00B809C5">
        <w:rPr>
          <w:rFonts w:ascii="Garamond" w:hAnsi="Garamond" w:cs="Garamond"/>
          <w:b/>
          <w:sz w:val="28"/>
          <w:szCs w:val="28"/>
        </w:rPr>
        <w:t xml:space="preserve">SECTION II: Please type a brief recommendation for the candidate below. </w:t>
      </w:r>
    </w:p>
    <w:p w14:paraId="02FE5666" w14:textId="77777777" w:rsid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Garamond" w:hAnsi="Garamond" w:cs="Garamond"/>
          <w:sz w:val="32"/>
          <w:szCs w:val="32"/>
        </w:rPr>
      </w:pPr>
    </w:p>
    <w:p w14:paraId="72453CC7" w14:textId="77777777" w:rsid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Garamond" w:hAnsi="Garamond" w:cs="Garamond"/>
          <w:sz w:val="32"/>
          <w:szCs w:val="32"/>
        </w:rPr>
      </w:pPr>
    </w:p>
    <w:p w14:paraId="65398133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both"/>
        <w:rPr>
          <w:rFonts w:ascii="Times" w:hAnsi="Times" w:cs="Times"/>
          <w:sz w:val="28"/>
          <w:szCs w:val="28"/>
        </w:rPr>
      </w:pPr>
      <w:r w:rsidRPr="00B809C5">
        <w:rPr>
          <w:rFonts w:ascii="Garamond" w:hAnsi="Garamond" w:cs="Garamond"/>
          <w:sz w:val="28"/>
          <w:szCs w:val="28"/>
        </w:rPr>
        <w:t xml:space="preserve">Feel free to continue on a second page if necessary. </w:t>
      </w:r>
    </w:p>
    <w:p w14:paraId="6A1E6973" w14:textId="73AF1876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jc w:val="both"/>
        <w:rPr>
          <w:rFonts w:ascii="Times" w:hAnsi="Times" w:cs="Times"/>
          <w:sz w:val="28"/>
          <w:szCs w:val="28"/>
        </w:rPr>
      </w:pPr>
      <w:r w:rsidRPr="00B809C5">
        <w:rPr>
          <w:rFonts w:ascii="Garamond" w:hAnsi="Garamond" w:cs="Garamond"/>
          <w:b/>
          <w:bCs/>
          <w:sz w:val="28"/>
          <w:szCs w:val="28"/>
        </w:rPr>
        <w:t xml:space="preserve">Thank you for your input in this application process. Please return the completed form to the candidate. </w:t>
      </w:r>
      <w:r w:rsidRPr="00B809C5">
        <w:rPr>
          <w:rFonts w:ascii="Garamond" w:hAnsi="Garamond" w:cs="Garamond"/>
          <w:b/>
          <w:bCs/>
          <w:color w:val="00000A"/>
          <w:sz w:val="28"/>
          <w:szCs w:val="28"/>
        </w:rPr>
        <w:t xml:space="preserve">The candidate must </w:t>
      </w:r>
      <w:r w:rsidRPr="00B809C5">
        <w:rPr>
          <w:rFonts w:ascii="Garamond" w:hAnsi="Garamond" w:cs="Garamond"/>
          <w:b/>
          <w:bCs/>
          <w:sz w:val="28"/>
          <w:szCs w:val="28"/>
        </w:rPr>
        <w:t xml:space="preserve">submit this form by 5:00pm, </w:t>
      </w:r>
      <w:r w:rsidR="00F7695D">
        <w:rPr>
          <w:rFonts w:ascii="Garamond" w:hAnsi="Garamond" w:cs="Garamond"/>
          <w:b/>
          <w:bCs/>
          <w:sz w:val="28"/>
          <w:szCs w:val="28"/>
        </w:rPr>
        <w:t>September 30,</w:t>
      </w:r>
      <w:r w:rsidRPr="00B809C5">
        <w:rPr>
          <w:rFonts w:ascii="Garamond" w:hAnsi="Garamond" w:cs="Garamond"/>
          <w:b/>
          <w:bCs/>
          <w:sz w:val="28"/>
          <w:szCs w:val="28"/>
        </w:rPr>
        <w:t xml:space="preserve"> 20</w:t>
      </w:r>
      <w:r w:rsidR="0025649D">
        <w:rPr>
          <w:rFonts w:ascii="Garamond" w:hAnsi="Garamond" w:cs="Garamond"/>
          <w:b/>
          <w:bCs/>
          <w:sz w:val="28"/>
          <w:szCs w:val="28"/>
        </w:rPr>
        <w:t>20</w:t>
      </w:r>
      <w:r w:rsidRPr="00B809C5">
        <w:rPr>
          <w:rFonts w:ascii="Garamond" w:hAnsi="Garamond" w:cs="Garamond"/>
          <w:b/>
          <w:bCs/>
          <w:sz w:val="28"/>
          <w:szCs w:val="28"/>
        </w:rPr>
        <w:t xml:space="preserve"> to </w:t>
      </w:r>
      <w:r>
        <w:rPr>
          <w:rFonts w:ascii="Garamond" w:hAnsi="Garamond" w:cs="Garamond"/>
          <w:b/>
          <w:bCs/>
          <w:sz w:val="28"/>
          <w:szCs w:val="28"/>
        </w:rPr>
        <w:t xml:space="preserve">Mary Chipps, </w:t>
      </w:r>
      <w:r w:rsidRPr="00B809C5">
        <w:rPr>
          <w:rFonts w:ascii="Garamond" w:hAnsi="Garamond" w:cs="Garamond"/>
          <w:b/>
          <w:bCs/>
          <w:sz w:val="28"/>
          <w:szCs w:val="28"/>
        </w:rPr>
        <w:t xml:space="preserve">mchipps@suddenlinkmail.com. </w:t>
      </w:r>
    </w:p>
    <w:p w14:paraId="2BC05E82" w14:textId="77777777" w:rsidR="00B809C5" w:rsidRPr="00B809C5" w:rsidRDefault="00B809C5" w:rsidP="00B809C5">
      <w:pPr>
        <w:widowControl w:val="0"/>
        <w:autoSpaceDE w:val="0"/>
        <w:autoSpaceDN w:val="0"/>
        <w:adjustRightInd w:val="0"/>
        <w:spacing w:after="240"/>
        <w:ind w:left="-720" w:right="-630"/>
        <w:rPr>
          <w:rFonts w:ascii="Times" w:hAnsi="Times" w:cs="Times"/>
          <w:sz w:val="20"/>
          <w:szCs w:val="20"/>
        </w:rPr>
      </w:pP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>This publication was created by the Community Action Partnership in the performance of the U.S. Department of Health and Human Services, Administration for Children and Families</w:t>
      </w:r>
      <w:r w:rsidRPr="00B809C5">
        <w:rPr>
          <w:rFonts w:ascii="Garamond" w:hAnsi="Garamond" w:cs="Garamond"/>
          <w:i/>
          <w:iCs/>
          <w:color w:val="4C4C4C"/>
          <w:sz w:val="20"/>
          <w:szCs w:val="20"/>
        </w:rPr>
        <w:t xml:space="preserve">, </w:t>
      </w: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>Office of Community Services, Grant Number 90EQ0231 and 90ET0428. Any opinion</w:t>
      </w:r>
      <w:r w:rsidRPr="00B809C5">
        <w:rPr>
          <w:rFonts w:ascii="Garamond" w:hAnsi="Garamond" w:cs="Garamond"/>
          <w:i/>
          <w:iCs/>
          <w:color w:val="4C4C4C"/>
          <w:sz w:val="20"/>
          <w:szCs w:val="20"/>
        </w:rPr>
        <w:t xml:space="preserve">, </w:t>
      </w: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>findings</w:t>
      </w:r>
      <w:r w:rsidRPr="00B809C5">
        <w:rPr>
          <w:rFonts w:ascii="Garamond" w:hAnsi="Garamond" w:cs="Garamond"/>
          <w:i/>
          <w:iCs/>
          <w:color w:val="4C4C4C"/>
          <w:sz w:val="20"/>
          <w:szCs w:val="20"/>
        </w:rPr>
        <w:t xml:space="preserve">, </w:t>
      </w: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 xml:space="preserve">and conclusions, or recommendations expressed in this material are those of the author(s) and do not necessarily reflect the views </w:t>
      </w:r>
      <w:r w:rsidR="00576F6B" w:rsidRPr="00B809C5">
        <w:rPr>
          <w:rFonts w:ascii="Garamond" w:hAnsi="Garamond" w:cs="Garamond"/>
          <w:i/>
          <w:iCs/>
          <w:color w:val="323232"/>
          <w:sz w:val="20"/>
          <w:szCs w:val="20"/>
        </w:rPr>
        <w:t>of the</w:t>
      </w: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 xml:space="preserve"> U.S. Department </w:t>
      </w:r>
      <w:r w:rsidR="00576F6B" w:rsidRPr="00B809C5">
        <w:rPr>
          <w:rFonts w:ascii="Garamond" w:hAnsi="Garamond" w:cs="Garamond"/>
          <w:i/>
          <w:iCs/>
          <w:color w:val="323232"/>
          <w:sz w:val="20"/>
          <w:szCs w:val="20"/>
        </w:rPr>
        <w:t>of Health</w:t>
      </w:r>
      <w:r w:rsidRPr="00B809C5">
        <w:rPr>
          <w:rFonts w:ascii="Garamond" w:hAnsi="Garamond" w:cs="Garamond"/>
          <w:i/>
          <w:iCs/>
          <w:color w:val="323232"/>
          <w:sz w:val="20"/>
          <w:szCs w:val="20"/>
        </w:rPr>
        <w:t xml:space="preserve"> and Human Services, Administration for Children and Families. </w:t>
      </w:r>
    </w:p>
    <w:sectPr w:rsidR="00B809C5" w:rsidRPr="00B809C5" w:rsidSect="00B809C5">
      <w:pgSz w:w="12240" w:h="15840"/>
      <w:pgMar w:top="1170" w:right="180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5"/>
    <w:rsid w:val="0025649D"/>
    <w:rsid w:val="004044C3"/>
    <w:rsid w:val="00461B2F"/>
    <w:rsid w:val="00576F6B"/>
    <w:rsid w:val="005B57F0"/>
    <w:rsid w:val="00AA23AF"/>
    <w:rsid w:val="00B809C5"/>
    <w:rsid w:val="00C96EDC"/>
    <w:rsid w:val="00F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B5A8E"/>
  <w14:defaultImageDpi w14:val="300"/>
  <w15:docId w15:val="{9719C04B-0024-7B44-9611-3E7CD7C3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WV Community Action Partnership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Chipps</dc:creator>
  <cp:keywords/>
  <dc:description/>
  <cp:lastModifiedBy>Mary Chipps</cp:lastModifiedBy>
  <cp:revision>3</cp:revision>
  <cp:lastPrinted>2017-04-30T22:13:00Z</cp:lastPrinted>
  <dcterms:created xsi:type="dcterms:W3CDTF">2020-06-03T17:52:00Z</dcterms:created>
  <dcterms:modified xsi:type="dcterms:W3CDTF">2020-09-01T20:09:00Z</dcterms:modified>
</cp:coreProperties>
</file>